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428" w:rsidRPr="00007D80" w:rsidRDefault="00D36428" w:rsidP="00D36428">
      <w:pPr>
        <w:pStyle w:val="a6"/>
        <w:suppressAutoHyphens/>
        <w:contextualSpacing/>
        <w:jc w:val="both"/>
        <w:rPr>
          <w:rStyle w:val="a8"/>
          <w:i w:val="0"/>
          <w:sz w:val="24"/>
          <w:szCs w:val="24"/>
          <w:bdr w:val="none" w:sz="0" w:space="0" w:color="auto" w:frame="1"/>
        </w:rPr>
      </w:pPr>
    </w:p>
    <w:p w:rsidR="00D36428" w:rsidRPr="00007D80" w:rsidRDefault="00D36428" w:rsidP="00D36428">
      <w:pPr>
        <w:pStyle w:val="4"/>
        <w:suppressAutoHyphens/>
        <w:spacing w:before="0" w:after="0"/>
        <w:contextualSpacing/>
        <w:jc w:val="both"/>
        <w:rPr>
          <w:rFonts w:ascii="Times New Roman" w:hAnsi="Times New Roman"/>
          <w:b w:val="0"/>
          <w:sz w:val="24"/>
          <w:szCs w:val="24"/>
        </w:rPr>
      </w:pPr>
      <w:r w:rsidRPr="00007D80">
        <w:rPr>
          <w:rFonts w:ascii="Times New Roman" w:hAnsi="Times New Roman"/>
          <w:b w:val="0"/>
          <w:sz w:val="24"/>
          <w:szCs w:val="24"/>
        </w:rPr>
        <w:t>Таблица 1. – Показатели изоформ ПСА и его расчетных значений перед повторной биопсией простаты (494 пациента)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30"/>
        <w:gridCol w:w="3818"/>
        <w:gridCol w:w="2736"/>
        <w:gridCol w:w="2736"/>
      </w:tblGrid>
      <w:tr w:rsidR="00D36428" w:rsidRPr="00007D80" w:rsidTr="00E46B19">
        <w:trPr>
          <w:cantSplit/>
          <w:trHeight w:val="20"/>
        </w:trPr>
        <w:tc>
          <w:tcPr>
            <w:tcW w:w="2224" w:type="pct"/>
            <w:gridSpan w:val="2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Показатели перед повторной биопсией простаты</w:t>
            </w:r>
          </w:p>
        </w:tc>
        <w:tc>
          <w:tcPr>
            <w:tcW w:w="2776" w:type="pct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Медиана (</w:t>
            </w:r>
            <w:proofErr w:type="spellStart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межквартильный</w:t>
            </w:r>
            <w:proofErr w:type="spellEnd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 xml:space="preserve"> размах)</w:t>
            </w:r>
          </w:p>
        </w:tc>
      </w:tr>
      <w:tr w:rsidR="00D36428" w:rsidRPr="00007D80" w:rsidTr="00E46B19">
        <w:trPr>
          <w:cantSplit/>
          <w:trHeight w:val="20"/>
        </w:trPr>
        <w:tc>
          <w:tcPr>
            <w:tcW w:w="2224" w:type="pct"/>
            <w:gridSpan w:val="2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i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38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у всех пациентов</w:t>
            </w:r>
          </w:p>
        </w:tc>
        <w:tc>
          <w:tcPr>
            <w:tcW w:w="13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bCs/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пациенты с изолированной зоной АМАП</w:t>
            </w:r>
          </w:p>
        </w:tc>
      </w:tr>
      <w:tr w:rsidR="00D36428" w:rsidRPr="00007D80" w:rsidTr="00E46B19">
        <w:trPr>
          <w:cantSplit/>
          <w:trHeight w:val="20"/>
        </w:trPr>
        <w:tc>
          <w:tcPr>
            <w:tcW w:w="2224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both"/>
              <w:rPr>
                <w:bCs/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 xml:space="preserve">Общий ПСА, </w:t>
            </w:r>
            <w:proofErr w:type="spellStart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нг</w:t>
            </w:r>
            <w:proofErr w:type="spellEnd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/мл</w:t>
            </w:r>
          </w:p>
          <w:p w:rsidR="00D36428" w:rsidRPr="00007D80" w:rsidRDefault="00D36428" w:rsidP="00E46B19">
            <w:pPr>
              <w:pStyle w:val="a6"/>
              <w:suppressAutoHyphens/>
              <w:contextualSpacing/>
              <w:jc w:val="both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sym w:font="Symbol" w:char="F03C"/>
            </w: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4,0 (</w:t>
            </w: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  <w:lang w:val="en-US"/>
              </w:rPr>
              <w:t>n</w:t>
            </w: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=67); 4,0–10,0 (</w:t>
            </w: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  <w:lang w:val="en-US"/>
              </w:rPr>
              <w:t>n</w:t>
            </w: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=269); &gt;10,0 (</w:t>
            </w: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  <w:lang w:val="en-US"/>
              </w:rPr>
              <w:t>n</w:t>
            </w: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=158)</w:t>
            </w:r>
          </w:p>
        </w:tc>
        <w:tc>
          <w:tcPr>
            <w:tcW w:w="138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7,4 (</w:t>
            </w:r>
            <w:r w:rsidRPr="00007D80">
              <w:rPr>
                <w:iCs/>
                <w:sz w:val="24"/>
                <w:szCs w:val="24"/>
                <w:bdr w:val="none" w:sz="0" w:space="0" w:color="auto" w:frame="1"/>
              </w:rPr>
              <w:t>5,3–11,7)</w:t>
            </w:r>
          </w:p>
        </w:tc>
        <w:tc>
          <w:tcPr>
            <w:tcW w:w="13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bCs/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6,7 (5,1–10,3)</w:t>
            </w:r>
          </w:p>
        </w:tc>
      </w:tr>
      <w:tr w:rsidR="00D36428" w:rsidRPr="00007D80" w:rsidTr="00E46B19">
        <w:trPr>
          <w:cantSplit/>
          <w:trHeight w:val="20"/>
        </w:trPr>
        <w:tc>
          <w:tcPr>
            <w:tcW w:w="2224" w:type="pct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both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 xml:space="preserve">Свободный ПСА, </w:t>
            </w:r>
            <w:proofErr w:type="spellStart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нг</w:t>
            </w:r>
            <w:proofErr w:type="spellEnd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/мл</w:t>
            </w:r>
          </w:p>
        </w:tc>
        <w:tc>
          <w:tcPr>
            <w:tcW w:w="138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1,30 (</w:t>
            </w:r>
            <w:r w:rsidRPr="00007D80">
              <w:rPr>
                <w:iCs/>
                <w:sz w:val="24"/>
                <w:szCs w:val="24"/>
                <w:bdr w:val="none" w:sz="0" w:space="0" w:color="auto" w:frame="1"/>
              </w:rPr>
              <w:t>0,85–1,88)</w:t>
            </w:r>
          </w:p>
        </w:tc>
        <w:tc>
          <w:tcPr>
            <w:tcW w:w="13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bCs/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1,37 (0,82–2,03)</w:t>
            </w:r>
          </w:p>
        </w:tc>
      </w:tr>
      <w:tr w:rsidR="00D36428" w:rsidRPr="00007D80" w:rsidTr="00E46B19">
        <w:trPr>
          <w:cantSplit/>
          <w:trHeight w:val="20"/>
        </w:trPr>
        <w:tc>
          <w:tcPr>
            <w:tcW w:w="290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</w:tcPr>
          <w:p w:rsidR="00D36428" w:rsidRPr="00007D80" w:rsidRDefault="00D36428" w:rsidP="00E46B19">
            <w:pPr>
              <w:pStyle w:val="a6"/>
              <w:suppressAutoHyphens/>
              <w:ind w:left="113" w:right="113"/>
              <w:contextualSpacing/>
              <w:jc w:val="center"/>
              <w:rPr>
                <w:bCs/>
                <w:i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При</w:t>
            </w:r>
            <w:proofErr w:type="gramEnd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 xml:space="preserve"> ПСА</w:t>
            </w:r>
          </w:p>
          <w:p w:rsidR="00D36428" w:rsidRPr="00007D80" w:rsidRDefault="00D36428" w:rsidP="00E46B19">
            <w:pPr>
              <w:pStyle w:val="a6"/>
              <w:suppressAutoHyphens/>
              <w:ind w:left="113" w:right="113"/>
              <w:contextualSpacing/>
              <w:jc w:val="center"/>
              <w:rPr>
                <w:bCs/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 xml:space="preserve">4,0–10,0 </w:t>
            </w:r>
            <w:proofErr w:type="spellStart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нг</w:t>
            </w:r>
            <w:proofErr w:type="spellEnd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/мл</w:t>
            </w:r>
          </w:p>
        </w:tc>
        <w:tc>
          <w:tcPr>
            <w:tcW w:w="193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both"/>
              <w:rPr>
                <w:i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Свободный</w:t>
            </w:r>
            <w:proofErr w:type="gramEnd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/общий ПСА, %</w:t>
            </w:r>
          </w:p>
        </w:tc>
        <w:tc>
          <w:tcPr>
            <w:tcW w:w="138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18,1 (</w:t>
            </w:r>
            <w:r w:rsidRPr="00007D80">
              <w:rPr>
                <w:iCs/>
                <w:sz w:val="24"/>
                <w:szCs w:val="24"/>
                <w:bdr w:val="none" w:sz="0" w:space="0" w:color="auto" w:frame="1"/>
              </w:rPr>
              <w:t>14,3–22,6)</w:t>
            </w:r>
          </w:p>
        </w:tc>
        <w:tc>
          <w:tcPr>
            <w:tcW w:w="13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bCs/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19,2 (15,3–24,6)</w:t>
            </w:r>
          </w:p>
        </w:tc>
      </w:tr>
      <w:tr w:rsidR="00D36428" w:rsidRPr="00007D80" w:rsidTr="00E46B19">
        <w:trPr>
          <w:cantSplit/>
          <w:trHeight w:val="20"/>
        </w:trPr>
        <w:tc>
          <w:tcPr>
            <w:tcW w:w="29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bCs/>
                <w:i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93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both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 xml:space="preserve">Плотность ПСА общего к объему железы, </w:t>
            </w:r>
            <w:proofErr w:type="spellStart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нг</w:t>
            </w:r>
            <w:proofErr w:type="spellEnd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/мл/см</w:t>
            </w: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  <w:vertAlign w:val="superscript"/>
              </w:rPr>
              <w:t>3</w:t>
            </w:r>
          </w:p>
        </w:tc>
        <w:tc>
          <w:tcPr>
            <w:tcW w:w="138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0,13 (</w:t>
            </w:r>
            <w:r w:rsidRPr="00007D80">
              <w:rPr>
                <w:iCs/>
                <w:sz w:val="24"/>
                <w:szCs w:val="24"/>
                <w:bdr w:val="none" w:sz="0" w:space="0" w:color="auto" w:frame="1"/>
              </w:rPr>
              <w:t>0,09–0,17)</w:t>
            </w:r>
          </w:p>
        </w:tc>
        <w:tc>
          <w:tcPr>
            <w:tcW w:w="13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bCs/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0,13 (0,09–0,16)</w:t>
            </w:r>
          </w:p>
        </w:tc>
      </w:tr>
      <w:tr w:rsidR="00D36428" w:rsidRPr="00007D80" w:rsidTr="00E46B19">
        <w:trPr>
          <w:cantSplit/>
          <w:trHeight w:val="20"/>
        </w:trPr>
        <w:tc>
          <w:tcPr>
            <w:tcW w:w="29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bCs/>
                <w:i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93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both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 xml:space="preserve">Плотность ПСА общего к объему переходной зоны, </w:t>
            </w:r>
            <w:proofErr w:type="spellStart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нг</w:t>
            </w:r>
            <w:proofErr w:type="spellEnd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/мл/см</w:t>
            </w: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  <w:vertAlign w:val="superscript"/>
              </w:rPr>
              <w:t>3</w:t>
            </w:r>
          </w:p>
        </w:tc>
        <w:tc>
          <w:tcPr>
            <w:tcW w:w="138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0,21 (</w:t>
            </w:r>
            <w:r w:rsidRPr="00007D80">
              <w:rPr>
                <w:iCs/>
                <w:sz w:val="24"/>
                <w:szCs w:val="24"/>
                <w:bdr w:val="none" w:sz="0" w:space="0" w:color="auto" w:frame="1"/>
              </w:rPr>
              <w:t>0,15–0,32)</w:t>
            </w:r>
          </w:p>
        </w:tc>
        <w:tc>
          <w:tcPr>
            <w:tcW w:w="13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bCs/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0,20 (0,15–0,30)</w:t>
            </w:r>
          </w:p>
        </w:tc>
      </w:tr>
      <w:tr w:rsidR="00D36428" w:rsidRPr="00007D80" w:rsidTr="00E46B19">
        <w:trPr>
          <w:cantSplit/>
          <w:trHeight w:val="20"/>
        </w:trPr>
        <w:tc>
          <w:tcPr>
            <w:tcW w:w="290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bCs/>
                <w:iCs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934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both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Индекс здоровья простаты</w:t>
            </w:r>
          </w:p>
          <w:p w:rsidR="00D36428" w:rsidRPr="00007D80" w:rsidRDefault="00D36428" w:rsidP="00E46B19">
            <w:pPr>
              <w:pStyle w:val="a6"/>
              <w:suppressAutoHyphens/>
              <w:contextualSpacing/>
              <w:jc w:val="both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iCs/>
                <w:sz w:val="24"/>
                <w:szCs w:val="24"/>
                <w:bdr w:val="none" w:sz="0" w:space="0" w:color="auto" w:frame="1"/>
                <w:lang w:val="en-US"/>
              </w:rPr>
              <w:t>PHI</w:t>
            </w:r>
            <w:r w:rsidRPr="00007D80">
              <w:rPr>
                <w:iCs/>
                <w:sz w:val="24"/>
                <w:szCs w:val="24"/>
                <w:bdr w:val="none" w:sz="0" w:space="0" w:color="auto" w:frame="1"/>
              </w:rPr>
              <w:t>=</w:t>
            </w:r>
            <w:proofErr w:type="spellStart"/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проПСА</w:t>
            </w:r>
            <w:proofErr w:type="spellEnd"/>
            <w:r w:rsidRPr="00007D80">
              <w:rPr>
                <w:iCs/>
                <w:sz w:val="24"/>
                <w:szCs w:val="24"/>
                <w:bdr w:val="none" w:sz="0" w:space="0" w:color="auto" w:frame="1"/>
              </w:rPr>
              <w:t>/</w:t>
            </w:r>
            <w:proofErr w:type="spellStart"/>
            <w:r w:rsidRPr="00007D80">
              <w:rPr>
                <w:iCs/>
                <w:sz w:val="24"/>
                <w:szCs w:val="24"/>
                <w:bdr w:val="none" w:sz="0" w:space="0" w:color="auto" w:frame="1"/>
              </w:rPr>
              <w:t>свПСА</w:t>
            </w:r>
            <w:proofErr w:type="spellEnd"/>
            <w:r w:rsidRPr="00007D80">
              <w:rPr>
                <w:iCs/>
                <w:sz w:val="24"/>
                <w:szCs w:val="24"/>
                <w:bdr w:val="none" w:sz="0" w:space="0" w:color="auto" w:frame="1"/>
              </w:rPr>
              <w:t>*√</w:t>
            </w:r>
            <w:proofErr w:type="spellStart"/>
            <w:r w:rsidRPr="00007D80">
              <w:rPr>
                <w:iCs/>
                <w:sz w:val="24"/>
                <w:szCs w:val="24"/>
                <w:bdr w:val="none" w:sz="0" w:space="0" w:color="auto" w:frame="1"/>
              </w:rPr>
              <w:t>общПСА</w:t>
            </w:r>
            <w:proofErr w:type="spellEnd"/>
          </w:p>
        </w:tc>
        <w:tc>
          <w:tcPr>
            <w:tcW w:w="138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31,0 (</w:t>
            </w:r>
            <w:r w:rsidRPr="00007D80">
              <w:rPr>
                <w:iCs/>
                <w:sz w:val="24"/>
                <w:szCs w:val="24"/>
                <w:bdr w:val="none" w:sz="0" w:space="0" w:color="auto" w:frame="1"/>
              </w:rPr>
              <w:t>24,8–41,4)</w:t>
            </w:r>
          </w:p>
        </w:tc>
        <w:tc>
          <w:tcPr>
            <w:tcW w:w="138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28" w:rsidRPr="00007D80" w:rsidRDefault="00D36428" w:rsidP="00E46B19">
            <w:pPr>
              <w:pStyle w:val="a6"/>
              <w:suppressAutoHyphens/>
              <w:contextualSpacing/>
              <w:jc w:val="center"/>
              <w:rPr>
                <w:bCs/>
                <w:iCs/>
                <w:sz w:val="24"/>
                <w:szCs w:val="24"/>
                <w:bdr w:val="none" w:sz="0" w:space="0" w:color="auto" w:frame="1"/>
              </w:rPr>
            </w:pPr>
            <w:r w:rsidRPr="00007D80">
              <w:rPr>
                <w:bCs/>
                <w:iCs/>
                <w:sz w:val="24"/>
                <w:szCs w:val="24"/>
                <w:bdr w:val="none" w:sz="0" w:space="0" w:color="auto" w:frame="1"/>
              </w:rPr>
              <w:t>30,9 (25,5–39,2)</w:t>
            </w:r>
          </w:p>
        </w:tc>
      </w:tr>
    </w:tbl>
    <w:p w:rsidR="00D36428" w:rsidRPr="00007D80" w:rsidRDefault="00D36428" w:rsidP="00D36428">
      <w:pPr>
        <w:pStyle w:val="a6"/>
        <w:suppressAutoHyphens/>
        <w:contextualSpacing/>
        <w:jc w:val="both"/>
        <w:rPr>
          <w:rStyle w:val="a8"/>
          <w:i w:val="0"/>
          <w:sz w:val="24"/>
          <w:szCs w:val="24"/>
          <w:bdr w:val="none" w:sz="0" w:space="0" w:color="auto" w:frame="1"/>
        </w:rPr>
      </w:pPr>
      <w:bookmarkStart w:id="0" w:name="_GoBack"/>
      <w:bookmarkEnd w:id="0"/>
    </w:p>
    <w:sectPr w:rsidR="00D36428" w:rsidRPr="00007D80" w:rsidSect="000A401A">
      <w:pgSz w:w="11906" w:h="16838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01A"/>
    <w:rsid w:val="000A401A"/>
    <w:rsid w:val="00551FF5"/>
    <w:rsid w:val="00A20778"/>
    <w:rsid w:val="00D3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01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0A401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A401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endnote text"/>
    <w:basedOn w:val="a"/>
    <w:link w:val="a4"/>
    <w:uiPriority w:val="99"/>
    <w:unhideWhenUsed/>
    <w:rsid w:val="000A401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0A401A"/>
    <w:rPr>
      <w:rFonts w:ascii="Calibri" w:eastAsia="Calibri" w:hAnsi="Calibri" w:cs="Times New Roman"/>
      <w:sz w:val="20"/>
      <w:szCs w:val="20"/>
    </w:rPr>
  </w:style>
  <w:style w:type="paragraph" w:styleId="a5">
    <w:name w:val="Normal (Web)"/>
    <w:basedOn w:val="a"/>
    <w:uiPriority w:val="99"/>
    <w:unhideWhenUsed/>
    <w:rsid w:val="000A40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uiPriority w:val="99"/>
    <w:qFormat/>
    <w:rsid w:val="000A401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интервала Знак"/>
    <w:link w:val="a6"/>
    <w:uiPriority w:val="99"/>
    <w:rsid w:val="000A401A"/>
    <w:rPr>
      <w:rFonts w:ascii="Times New Roman" w:eastAsia="Calibri" w:hAnsi="Times New Roman" w:cs="Times New Roman"/>
      <w:sz w:val="28"/>
    </w:rPr>
  </w:style>
  <w:style w:type="character" w:styleId="a8">
    <w:name w:val="Emphasis"/>
    <w:uiPriority w:val="99"/>
    <w:qFormat/>
    <w:rsid w:val="00D3642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01A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unhideWhenUsed/>
    <w:qFormat/>
    <w:rsid w:val="000A401A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A401A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endnote text"/>
    <w:basedOn w:val="a"/>
    <w:link w:val="a4"/>
    <w:uiPriority w:val="99"/>
    <w:unhideWhenUsed/>
    <w:rsid w:val="000A401A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0A401A"/>
    <w:rPr>
      <w:rFonts w:ascii="Calibri" w:eastAsia="Calibri" w:hAnsi="Calibri" w:cs="Times New Roman"/>
      <w:sz w:val="20"/>
      <w:szCs w:val="20"/>
    </w:rPr>
  </w:style>
  <w:style w:type="paragraph" w:styleId="a5">
    <w:name w:val="Normal (Web)"/>
    <w:basedOn w:val="a"/>
    <w:uiPriority w:val="99"/>
    <w:unhideWhenUsed/>
    <w:rsid w:val="000A40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uiPriority w:val="99"/>
    <w:qFormat/>
    <w:rsid w:val="000A401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интервала Знак"/>
    <w:link w:val="a6"/>
    <w:uiPriority w:val="99"/>
    <w:rsid w:val="000A401A"/>
    <w:rPr>
      <w:rFonts w:ascii="Times New Roman" w:eastAsia="Calibri" w:hAnsi="Times New Roman" w:cs="Times New Roman"/>
      <w:sz w:val="28"/>
    </w:rPr>
  </w:style>
  <w:style w:type="character" w:styleId="a8">
    <w:name w:val="Emphasis"/>
    <w:uiPriority w:val="99"/>
    <w:qFormat/>
    <w:rsid w:val="00D364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</cp:revision>
  <dcterms:created xsi:type="dcterms:W3CDTF">2016-12-04T18:16:00Z</dcterms:created>
  <dcterms:modified xsi:type="dcterms:W3CDTF">2016-12-04T18:16:00Z</dcterms:modified>
</cp:coreProperties>
</file>